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7D964D7C" w:rsidR="00FB6C5D" w:rsidRDefault="00FB6C5D" w:rsidP="00FB6C5D">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340CD5" w:rsidRPr="00340CD5">
        <w:rPr>
          <w:rFonts w:ascii="Arial" w:hAnsi="Arial" w:cs="Arial"/>
          <w:sz w:val="22"/>
        </w:rPr>
        <w:t>R2-1913200</w:t>
      </w:r>
    </w:p>
    <w:p w14:paraId="3B74D700" w14:textId="77777777" w:rsidR="00FB6C5D" w:rsidRPr="00FE4AAB" w:rsidRDefault="00FB6C5D" w:rsidP="00FB6C5D">
      <w:pPr>
        <w:spacing w:after="60"/>
        <w:ind w:left="1985" w:hanging="1985"/>
        <w:rPr>
          <w:rFonts w:cs="Arial"/>
          <w:b/>
          <w:sz w:val="22"/>
        </w:rPr>
      </w:pPr>
      <w:r w:rsidRPr="00FE4AAB">
        <w:rPr>
          <w:rFonts w:cs="Arial"/>
          <w:b/>
          <w:sz w:val="22"/>
        </w:rPr>
        <w:t>Chongqing, China, 14 - 18 October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A93181B" w:rsidR="00120D47" w:rsidRPr="009A1476"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FE4AAB" w:rsidRPr="00DE1555">
        <w:rPr>
          <w:rFonts w:ascii="Arial" w:hAnsi="Arial" w:cs="Arial"/>
          <w:b w:val="0"/>
          <w:sz w:val="22"/>
          <w:lang w:val="en-US"/>
        </w:rPr>
        <w:t>6.11.5 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D0B4761" w:rsidR="00120D47" w:rsidRPr="00DE1555" w:rsidRDefault="00120D47" w:rsidP="00F120D3">
      <w:pPr>
        <w:pStyle w:val="3GPPHeader"/>
        <w:spacing w:after="120"/>
        <w:rPr>
          <w:rFonts w:ascii="Arial" w:hAnsi="Arial" w:cs="Arial"/>
          <w:bCs/>
          <w:sz w:val="22"/>
        </w:rPr>
      </w:pPr>
      <w:r w:rsidRPr="00070C3F">
        <w:rPr>
          <w:rFonts w:ascii="Arial" w:hAnsi="Arial" w:cs="Arial"/>
          <w:sz w:val="22"/>
          <w:lang w:val="en-US"/>
        </w:rPr>
        <w:t xml:space="preserve">Title:  </w:t>
      </w:r>
      <w:r w:rsidRPr="00070C3F">
        <w:rPr>
          <w:rFonts w:ascii="Arial" w:hAnsi="Arial" w:cs="Arial"/>
          <w:sz w:val="22"/>
          <w:lang w:val="en-US"/>
        </w:rPr>
        <w:tab/>
      </w:r>
      <w:r w:rsidR="00DE1555" w:rsidRPr="00DE1555">
        <w:rPr>
          <w:rFonts w:ascii="Arial" w:hAnsi="Arial" w:cs="Arial"/>
          <w:b w:val="0"/>
          <w:sz w:val="22"/>
          <w:lang w:val="en-US"/>
        </w:rPr>
        <w:t>UE Assistance Information for cDRX configuration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3C1EC31" w:rsidR="00120D47" w:rsidRDefault="004D10CC" w:rsidP="00120D47">
      <w:pPr>
        <w:pStyle w:val="Heading1"/>
      </w:pPr>
      <w:r>
        <w:t>Introduction</w:t>
      </w:r>
    </w:p>
    <w:p w14:paraId="2AE54A5F" w14:textId="24BE28AF" w:rsidR="00176329" w:rsidRDefault="00176329" w:rsidP="00176329">
      <w:pPr>
        <w:rPr>
          <w:lang w:val="en-GB" w:eastAsia="zh-CN"/>
        </w:rPr>
      </w:pPr>
      <w:r>
        <w:rPr>
          <w:lang w:val="en-GB" w:eastAsia="zh-CN"/>
        </w:rPr>
        <w:t xml:space="preserve">RAN2 reached the following agreements for </w:t>
      </w:r>
      <w:r w:rsidRPr="00176329">
        <w:rPr>
          <w:lang w:val="en-GB" w:eastAsia="zh-CN"/>
        </w:rPr>
        <w:t xml:space="preserve">UE Assistance Information for cDRX configuration </w:t>
      </w:r>
      <w:r>
        <w:rPr>
          <w:lang w:val="en-GB" w:eastAsia="zh-CN"/>
        </w:rPr>
        <w:t>during RAN2#107:</w:t>
      </w:r>
    </w:p>
    <w:p w14:paraId="6D796E00" w14:textId="77777777" w:rsidR="00245BB0" w:rsidRPr="00245BB0" w:rsidRDefault="00245BB0" w:rsidP="00245BB0">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bCs/>
          <w:color w:val="C45911" w:themeColor="accent2" w:themeShade="BF"/>
          <w:sz w:val="18"/>
          <w:szCs w:val="18"/>
          <w:lang w:val="en-US"/>
        </w:rPr>
      </w:pPr>
      <w:r w:rsidRPr="00245BB0">
        <w:rPr>
          <w:rFonts w:ascii="Times New Roman" w:hAnsi="Times New Roman"/>
          <w:b/>
          <w:bCs/>
          <w:color w:val="C45911" w:themeColor="accent2" w:themeShade="BF"/>
          <w:sz w:val="18"/>
          <w:szCs w:val="18"/>
          <w:lang w:val="en-US"/>
        </w:rPr>
        <w:t>Agreements:</w:t>
      </w:r>
    </w:p>
    <w:p w14:paraId="667DE98A" w14:textId="77777777" w:rsidR="00245BB0" w:rsidRPr="00245BB0" w:rsidRDefault="00245BB0" w:rsidP="00245BB0">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245BB0">
        <w:rPr>
          <w:rFonts w:ascii="Times New Roman" w:hAnsi="Times New Roman"/>
          <w:color w:val="C45911" w:themeColor="accent2" w:themeShade="BF"/>
          <w:sz w:val="18"/>
          <w:szCs w:val="18"/>
          <w:lang w:val="en-US"/>
        </w:rPr>
        <w:t>-</w:t>
      </w:r>
      <w:r w:rsidRPr="00245BB0">
        <w:rPr>
          <w:rFonts w:ascii="Times New Roman" w:hAnsi="Times New Roman"/>
          <w:color w:val="C45911" w:themeColor="accent2" w:themeShade="BF"/>
          <w:sz w:val="18"/>
          <w:szCs w:val="18"/>
          <w:lang w:val="en-US"/>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07753092" w14:textId="77777777" w:rsidR="00245BB0" w:rsidRPr="00245BB0" w:rsidRDefault="00245BB0" w:rsidP="00245BB0">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245BB0">
        <w:rPr>
          <w:rFonts w:ascii="Times New Roman" w:hAnsi="Times New Roman"/>
          <w:color w:val="C45911" w:themeColor="accent2" w:themeShade="BF"/>
          <w:sz w:val="18"/>
          <w:szCs w:val="18"/>
          <w:lang w:val="en-US"/>
        </w:rPr>
        <w:t>-</w:t>
      </w:r>
      <w:r w:rsidRPr="00245BB0">
        <w:rPr>
          <w:rFonts w:ascii="Times New Roman" w:hAnsi="Times New Roman"/>
          <w:color w:val="C45911" w:themeColor="accent2" w:themeShade="BF"/>
          <w:sz w:val="18"/>
          <w:szCs w:val="18"/>
          <w:lang w:val="en-US"/>
        </w:rP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35D517EC" w14:textId="77777777" w:rsidR="00245BB0" w:rsidRPr="00245BB0" w:rsidRDefault="00245BB0" w:rsidP="00245BB0">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245BB0">
        <w:rPr>
          <w:rFonts w:ascii="Times New Roman" w:hAnsi="Times New Roman"/>
          <w:color w:val="C45911" w:themeColor="accent2" w:themeShade="BF"/>
          <w:sz w:val="18"/>
          <w:szCs w:val="18"/>
          <w:lang w:val="en-US"/>
        </w:rPr>
        <w:t>-</w:t>
      </w:r>
      <w:r w:rsidRPr="00245BB0">
        <w:rPr>
          <w:rFonts w:ascii="Times New Roman" w:hAnsi="Times New Roman"/>
          <w:color w:val="C45911" w:themeColor="accent2" w:themeShade="BF"/>
          <w:sz w:val="18"/>
          <w:szCs w:val="18"/>
          <w:lang w:val="en-US"/>
        </w:rPr>
        <w:tab/>
        <w:t xml:space="preserve">BWP and SCells UE assistance there is not enough consensus.  </w:t>
      </w:r>
    </w:p>
    <w:p w14:paraId="4B038C21" w14:textId="77777777" w:rsidR="00245BB0" w:rsidRPr="00245BB0" w:rsidRDefault="00245BB0" w:rsidP="00245BB0">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245BB0">
        <w:rPr>
          <w:rFonts w:ascii="Times New Roman" w:hAnsi="Times New Roman"/>
          <w:color w:val="C45911" w:themeColor="accent2" w:themeShade="BF"/>
          <w:sz w:val="18"/>
          <w:szCs w:val="18"/>
          <w:lang w:val="en-US"/>
        </w:rPr>
        <w:t>-</w:t>
      </w:r>
      <w:r w:rsidRPr="00245BB0">
        <w:rPr>
          <w:rFonts w:ascii="Times New Roman" w:hAnsi="Times New Roman"/>
          <w:color w:val="C45911" w:themeColor="accent2" w:themeShade="BF"/>
          <w:sz w:val="18"/>
          <w:szCs w:val="18"/>
          <w:lang w:val="en-US"/>
        </w:rPr>
        <w:tab/>
        <w:t xml:space="preserve">LTE PPI is excluded from UE assistance </w:t>
      </w:r>
    </w:p>
    <w:p w14:paraId="5FFCA40B" w14:textId="72382F6C" w:rsidR="00176329" w:rsidRPr="00A20EAE" w:rsidRDefault="00176329" w:rsidP="00176329">
      <w:pPr>
        <w:spacing w:before="200"/>
        <w:rPr>
          <w:lang w:val="en-GB" w:eastAsia="zh-CN"/>
        </w:rPr>
      </w:pPr>
      <w:r>
        <w:rPr>
          <w:lang w:val="en-GB" w:eastAsia="zh-CN"/>
        </w:rPr>
        <w:t xml:space="preserve">In this contribution any open issues and further stage 3 details for preferred cDRX configuration is discussed. </w:t>
      </w:r>
    </w:p>
    <w:p w14:paraId="6F24287D" w14:textId="77777777" w:rsidR="00D21B1B" w:rsidRDefault="00D21B1B" w:rsidP="00D21B1B">
      <w:pPr>
        <w:pStyle w:val="Heading1"/>
      </w:pPr>
      <w:bookmarkStart w:id="0" w:name="_Toc242573354"/>
      <w:r>
        <w:t>Discussion</w:t>
      </w:r>
    </w:p>
    <w:p w14:paraId="6192771A" w14:textId="67062F7A" w:rsidR="00245BB0" w:rsidRDefault="00B83574" w:rsidP="00245BB0">
      <w:pPr>
        <w:rPr>
          <w:b/>
          <w:u w:val="single"/>
          <w:lang w:val="en-GB" w:eastAsia="zh-CN"/>
        </w:rPr>
      </w:pPr>
      <w:r>
        <w:rPr>
          <w:b/>
          <w:u w:val="single"/>
          <w:lang w:val="en-GB" w:eastAsia="zh-CN"/>
        </w:rPr>
        <w:t xml:space="preserve">Preferred </w:t>
      </w:r>
      <w:r w:rsidR="00CA6241" w:rsidRPr="00CA6241">
        <w:rPr>
          <w:b/>
          <w:u w:val="single"/>
          <w:lang w:val="en-GB" w:eastAsia="zh-CN"/>
        </w:rPr>
        <w:t>DRX offset and duration</w:t>
      </w:r>
    </w:p>
    <w:p w14:paraId="07D48667" w14:textId="08CAFD04" w:rsidR="00D21B1B" w:rsidRDefault="00A8241D" w:rsidP="00D21B1B">
      <w:pPr>
        <w:rPr>
          <w:lang w:eastAsia="zh-CN"/>
        </w:rPr>
      </w:pPr>
      <w:r>
        <w:rPr>
          <w:lang w:val="en-GB" w:eastAsia="zh-CN"/>
        </w:rPr>
        <w:t xml:space="preserve">The DRX offset, indicating when the OnDuration starts, does not impact the UE power consumption. But the offset enables the NW to configure DRX efficiently satisfying the multitude of scheduling requirements. In case of DC, to some extent, it may be beneficial for power saving that the DRX in MCG and SCG are aligned. However the serving cells in master and secondary cell group are likely to be configured via different RF hardware, i.e. there is only possible baseband processing saved when master and second cell group wake-up at the same time. Furthermore, in case DRX alignment of master and secondary cell group is desired, </w:t>
      </w:r>
      <w:r w:rsidR="00D21B1B">
        <w:rPr>
          <w:lang w:val="en-GB" w:eastAsia="zh-CN"/>
        </w:rPr>
        <w:t xml:space="preserve">the master node can provide its </w:t>
      </w:r>
      <w:r w:rsidR="00D21B1B">
        <w:rPr>
          <w:lang w:eastAsia="zh-CN"/>
        </w:rPr>
        <w:t>cDRX configuration</w:t>
      </w:r>
      <w:r w:rsidR="00D21B1B">
        <w:rPr>
          <w:lang w:val="en-GB" w:eastAsia="zh-CN"/>
        </w:rPr>
        <w:t xml:space="preserve"> to the secondary node via </w:t>
      </w:r>
      <w:r w:rsidR="00D21B1B">
        <w:rPr>
          <w:lang w:eastAsia="zh-CN"/>
        </w:rPr>
        <w:t xml:space="preserve">SGNB ADDITION REQUEST message. There is no need for the UE to provide a preferred DRX offset. </w:t>
      </w:r>
    </w:p>
    <w:p w14:paraId="7C46D983" w14:textId="6A8B1EC2" w:rsidR="00A8241D" w:rsidRPr="00A8241D" w:rsidRDefault="00D21B1B" w:rsidP="00A8241D">
      <w:pPr>
        <w:rPr>
          <w:lang w:val="en-GB" w:eastAsia="zh-CN"/>
        </w:rPr>
      </w:pPr>
      <w:r>
        <w:rPr>
          <w:lang w:eastAsia="zh-CN"/>
        </w:rPr>
        <w:t xml:space="preserve">From a UE power saving perspective </w:t>
      </w:r>
      <w:proofErr w:type="gramStart"/>
      <w:r>
        <w:rPr>
          <w:lang w:eastAsia="zh-CN"/>
        </w:rPr>
        <w:t>it is clear that a</w:t>
      </w:r>
      <w:proofErr w:type="gramEnd"/>
      <w:r>
        <w:rPr>
          <w:lang w:eastAsia="zh-CN"/>
        </w:rPr>
        <w:t xml:space="preserve"> short OnDuration is preferred. The NW however may have certain requirements to a minimum OnDuration to enable some scheduling flexibility: </w:t>
      </w:r>
    </w:p>
    <w:bookmarkEnd w:id="0"/>
    <w:p w14:paraId="191D375D" w14:textId="77777777" w:rsidR="00C35817" w:rsidRDefault="00C35817" w:rsidP="00C35817">
      <w:pPr>
        <w:rPr>
          <w:lang w:val="en-GB" w:eastAsia="zh-CN"/>
        </w:rPr>
      </w:pPr>
      <w:r w:rsidRPr="00CA6241">
        <w:rPr>
          <w:b/>
          <w:lang w:val="en-GB" w:eastAsia="zh-CN"/>
        </w:rPr>
        <w:t>Proposal</w:t>
      </w:r>
      <w:r>
        <w:rPr>
          <w:b/>
          <w:lang w:val="en-GB" w:eastAsia="zh-CN"/>
        </w:rPr>
        <w:t xml:space="preserve"> 1</w:t>
      </w:r>
      <w:r>
        <w:rPr>
          <w:lang w:val="en-GB" w:eastAsia="zh-CN"/>
        </w:rPr>
        <w:t xml:space="preserve">: UE does not indicate a preferred DRX Offset or DRX OnDuration. </w:t>
      </w:r>
    </w:p>
    <w:p w14:paraId="094AE219" w14:textId="606D0D6F" w:rsidR="00D21B1B" w:rsidRDefault="00D21B1B" w:rsidP="000E5345">
      <w:pPr>
        <w:rPr>
          <w:b/>
          <w:u w:val="single"/>
          <w:lang w:val="en-GB" w:eastAsia="zh-CN"/>
        </w:rPr>
      </w:pPr>
      <w:r>
        <w:rPr>
          <w:b/>
          <w:u w:val="single"/>
          <w:lang w:val="en-GB" w:eastAsia="zh-CN"/>
        </w:rPr>
        <w:t>Supported signalling use cases</w:t>
      </w:r>
    </w:p>
    <w:p w14:paraId="7B788FE2" w14:textId="46057F34" w:rsidR="000E5345" w:rsidRDefault="000E5345" w:rsidP="000E5345">
      <w:pPr>
        <w:rPr>
          <w:lang w:eastAsia="zh-CN"/>
        </w:rPr>
      </w:pPr>
      <w:r>
        <w:rPr>
          <w:lang w:eastAsia="zh-CN"/>
        </w:rPr>
        <w:t xml:space="preserve">RAN2 should discuss further for which use cases the UE can indicate cDRX preferences. In our view the UE assistance signalling should also be supported in LTE to support EN-DC when SRB3 in NR is not configured. In our view the UE should be allowed to indicate separate preferences for the MCG and the </w:t>
      </w:r>
      <w:r>
        <w:rPr>
          <w:lang w:eastAsia="zh-CN"/>
        </w:rPr>
        <w:lastRenderedPageBreak/>
        <w:t xml:space="preserve">SCG.  In case the UE does not indicate a preference for the SCG, the NW could assume the UE has the same preferences as for the MCG apply. </w:t>
      </w:r>
    </w:p>
    <w:p w14:paraId="54EFFBA8" w14:textId="77777777" w:rsidR="00CE79CD" w:rsidRDefault="00CE79CD" w:rsidP="00CE79CD">
      <w:pPr>
        <w:rPr>
          <w:lang w:eastAsia="zh-CN"/>
        </w:rPr>
      </w:pPr>
      <w:bookmarkStart w:id="1" w:name="_Toc242573360"/>
      <w:r w:rsidRPr="0096305D">
        <w:rPr>
          <w:b/>
          <w:lang w:eastAsia="zh-CN"/>
        </w:rPr>
        <w:t xml:space="preserve">Proposal </w:t>
      </w:r>
      <w:r>
        <w:rPr>
          <w:b/>
          <w:lang w:eastAsia="zh-CN"/>
        </w:rPr>
        <w:t>2</w:t>
      </w:r>
      <w:r>
        <w:rPr>
          <w:lang w:eastAsia="zh-CN"/>
        </w:rPr>
        <w:t xml:space="preserve">: RAN2 to discuss the supported use cases for UE preferred cDRX configuration. </w:t>
      </w:r>
    </w:p>
    <w:p w14:paraId="196F548A" w14:textId="77777777" w:rsidR="00D21B1B" w:rsidRPr="00D21B1B" w:rsidRDefault="00D21B1B" w:rsidP="00D21B1B">
      <w:pPr>
        <w:rPr>
          <w:b/>
          <w:u w:val="single"/>
          <w:lang w:eastAsia="zh-CN"/>
        </w:rPr>
      </w:pPr>
      <w:r w:rsidRPr="00D21B1B">
        <w:rPr>
          <w:b/>
          <w:u w:val="single"/>
          <w:lang w:eastAsia="zh-CN"/>
        </w:rPr>
        <w:t>Trigger to send preferred cDRX configuration</w:t>
      </w:r>
    </w:p>
    <w:p w14:paraId="3BAD351C" w14:textId="77777777" w:rsidR="00D21B1B" w:rsidRDefault="00D21B1B" w:rsidP="00D21B1B">
      <w:pPr>
        <w:rPr>
          <w:lang w:eastAsia="zh-CN"/>
        </w:rPr>
      </w:pPr>
      <w:r>
        <w:rPr>
          <w:lang w:val="en-GB"/>
        </w:rPr>
        <w:t xml:space="preserve">The usefulness of the UE assistance information for </w:t>
      </w:r>
      <w:r>
        <w:rPr>
          <w:lang w:eastAsia="zh-CN"/>
        </w:rPr>
        <w:t xml:space="preserve">UE preferred cDRX configuration depends on whether this information adds something to the information known in the gNB (or not). In our understanding the cDRX configuration should depend on the traffic pattern (e.g. periodic, or random arrival pattern) and/or service type (e.g. web-browsing, chat, streaming video over HTTP, …). The UE preferred cDRX configuration should depend on the </w:t>
      </w:r>
      <w:r>
        <w:rPr>
          <w:lang w:val="en-GB"/>
        </w:rPr>
        <w:t>traffic pattern and/or service type, and it would be capture this in the stage 2 description of the preferred cDRX configuration:</w:t>
      </w:r>
    </w:p>
    <w:p w14:paraId="7EDB3CE6" w14:textId="67B0676D" w:rsidR="00D21B1B" w:rsidRDefault="00D21B1B" w:rsidP="00D21B1B">
      <w:pPr>
        <w:rPr>
          <w:lang w:val="en-GB"/>
        </w:rPr>
      </w:pPr>
      <w:r>
        <w:rPr>
          <w:b/>
          <w:lang w:val="en-GB"/>
        </w:rPr>
        <w:t xml:space="preserve">Proposal </w:t>
      </w:r>
      <w:r w:rsidR="00CE79CD">
        <w:rPr>
          <w:b/>
          <w:lang w:val="en-GB"/>
        </w:rPr>
        <w:t>3</w:t>
      </w:r>
      <w:r>
        <w:rPr>
          <w:b/>
          <w:lang w:val="en-GB"/>
        </w:rPr>
        <w:t xml:space="preserve">: </w:t>
      </w:r>
      <w:r w:rsidRPr="00C64FCC">
        <w:rPr>
          <w:lang w:val="en-GB"/>
        </w:rPr>
        <w:t>The</w:t>
      </w:r>
      <w:r>
        <w:rPr>
          <w:lang w:val="en-GB"/>
        </w:rPr>
        <w:t xml:space="preserve"> UE shall set the preferred cDRX configuration based on the</w:t>
      </w:r>
      <w:r w:rsidR="00CE79CD" w:rsidRPr="00CE79CD">
        <w:rPr>
          <w:lang w:val="en-GB"/>
        </w:rPr>
        <w:t xml:space="preserve"> </w:t>
      </w:r>
      <w:r w:rsidR="00CE79CD">
        <w:rPr>
          <w:lang w:val="en-GB"/>
        </w:rPr>
        <w:t>expected</w:t>
      </w:r>
      <w:r>
        <w:rPr>
          <w:lang w:val="en-GB"/>
        </w:rPr>
        <w:t xml:space="preserve"> traffic pattern and/or service type.</w:t>
      </w:r>
    </w:p>
    <w:p w14:paraId="0893593C" w14:textId="3AF2C1E4" w:rsidR="00D21B1B" w:rsidRPr="00D21B1B" w:rsidRDefault="00CE79CD" w:rsidP="00D21B1B">
      <w:pPr>
        <w:rPr>
          <w:b/>
          <w:u w:val="single"/>
          <w:lang w:eastAsia="zh-CN"/>
        </w:rPr>
      </w:pPr>
      <w:r>
        <w:rPr>
          <w:b/>
          <w:u w:val="single"/>
          <w:lang w:eastAsia="zh-CN"/>
        </w:rPr>
        <w:t>NW response</w:t>
      </w:r>
    </w:p>
    <w:p w14:paraId="3BBC3991" w14:textId="35EAB7A1" w:rsidR="00D21B1B" w:rsidRDefault="00D21B1B" w:rsidP="00D21B1B">
      <w:pPr>
        <w:rPr>
          <w:lang w:val="en-GB"/>
        </w:rPr>
      </w:pPr>
      <w:r>
        <w:rPr>
          <w:lang w:val="en-GB"/>
        </w:rPr>
        <w:t xml:space="preserve">The NW response, if any, should be left to NW implementation. The NW has multiple UE preferences to handle, but also other considerations to </w:t>
      </w:r>
      <w:proofErr w:type="gramStart"/>
      <w:r>
        <w:rPr>
          <w:lang w:val="en-GB"/>
        </w:rPr>
        <w:t>take into account</w:t>
      </w:r>
      <w:proofErr w:type="gramEnd"/>
      <w:r>
        <w:rPr>
          <w:lang w:val="en-GB"/>
        </w:rPr>
        <w:t xml:space="preserve">, such as system capacity and potential QoS profile. The </w:t>
      </w:r>
      <w:proofErr w:type="spellStart"/>
      <w:r>
        <w:rPr>
          <w:lang w:val="en-GB"/>
        </w:rPr>
        <w:t>eNB</w:t>
      </w:r>
      <w:proofErr w:type="spellEnd"/>
      <w:r>
        <w:rPr>
          <w:lang w:val="en-GB"/>
        </w:rPr>
        <w:t xml:space="preserve">/gNB will ensure that the QoS level is maintained, irrespective of the UE preference signalling: </w:t>
      </w:r>
    </w:p>
    <w:p w14:paraId="3EF94CD0" w14:textId="71D0439A" w:rsidR="00D21B1B" w:rsidRDefault="00D21B1B" w:rsidP="00D21B1B">
      <w:pPr>
        <w:rPr>
          <w:lang w:val="en-GB"/>
        </w:rPr>
      </w:pPr>
      <w:r>
        <w:rPr>
          <w:b/>
          <w:lang w:val="en-GB"/>
        </w:rPr>
        <w:t xml:space="preserve">Proposal </w:t>
      </w:r>
      <w:r w:rsidR="00CE79CD">
        <w:rPr>
          <w:b/>
          <w:lang w:val="en-GB"/>
        </w:rPr>
        <w:t>4</w:t>
      </w:r>
      <w:r>
        <w:rPr>
          <w:b/>
          <w:lang w:val="en-GB"/>
        </w:rPr>
        <w:t xml:space="preserve">: </w:t>
      </w:r>
      <w:r w:rsidRPr="00C64FCC">
        <w:rPr>
          <w:lang w:val="en-GB"/>
        </w:rPr>
        <w:t>The</w:t>
      </w:r>
      <w:r>
        <w:rPr>
          <w:lang w:val="en-GB"/>
        </w:rPr>
        <w:t xml:space="preserve"> NW maintains the negotiated QoS irrespective of the UE preferred cDRX configuration.</w:t>
      </w:r>
    </w:p>
    <w:p w14:paraId="038382EB" w14:textId="77777777" w:rsidR="00D21B1B" w:rsidRPr="00D21B1B" w:rsidRDefault="00D21B1B" w:rsidP="00D21B1B">
      <w:pPr>
        <w:rPr>
          <w:b/>
          <w:u w:val="single"/>
          <w:lang w:eastAsia="zh-CN"/>
        </w:rPr>
      </w:pPr>
      <w:r>
        <w:rPr>
          <w:b/>
          <w:u w:val="single"/>
          <w:lang w:eastAsia="zh-CN"/>
        </w:rPr>
        <w:t>Preferred parameter value ranges</w:t>
      </w:r>
    </w:p>
    <w:p w14:paraId="6742188E" w14:textId="77777777" w:rsidR="00D21B1B" w:rsidRDefault="00D21B1B" w:rsidP="00D21B1B">
      <w:pPr>
        <w:rPr>
          <w:lang w:val="en-GB"/>
        </w:rPr>
      </w:pPr>
      <w:r>
        <w:rPr>
          <w:lang w:val="en-GB"/>
        </w:rPr>
        <w:t>For the UE preferred cDRX configuration parameters discussed above it is proposed to support the value range as it exists for the cDRX configuration parameter itself:</w:t>
      </w:r>
    </w:p>
    <w:p w14:paraId="6DB4FFB6" w14:textId="6A0DC5FC" w:rsidR="00D21B1B" w:rsidRDefault="00D21B1B" w:rsidP="00D21B1B">
      <w:pPr>
        <w:rPr>
          <w:lang w:val="en-GB"/>
        </w:rPr>
      </w:pPr>
      <w:r>
        <w:rPr>
          <w:b/>
          <w:lang w:val="en-GB"/>
        </w:rPr>
        <w:t xml:space="preserve">Proposal </w:t>
      </w:r>
      <w:r w:rsidR="00CE79CD">
        <w:rPr>
          <w:b/>
          <w:lang w:val="en-GB"/>
        </w:rPr>
        <w:t>5</w:t>
      </w:r>
      <w:r>
        <w:rPr>
          <w:b/>
          <w:lang w:val="en-GB"/>
        </w:rPr>
        <w:t xml:space="preserve">: </w:t>
      </w:r>
      <w:r w:rsidRPr="00C64FCC">
        <w:rPr>
          <w:lang w:val="en-GB"/>
        </w:rPr>
        <w:t xml:space="preserve">The </w:t>
      </w:r>
      <w:r>
        <w:rPr>
          <w:lang w:val="en-GB"/>
        </w:rPr>
        <w:t>preferred cDRX configuration parameter has the same value range as the corresponding cDRX configuration parameter.</w:t>
      </w:r>
    </w:p>
    <w:p w14:paraId="5E650D32" w14:textId="77777777" w:rsidR="009D725A" w:rsidRDefault="009D725A" w:rsidP="009D725A">
      <w:pPr>
        <w:pStyle w:val="Heading1"/>
        <w:jc w:val="both"/>
      </w:pPr>
      <w:r>
        <w:t>Summary</w:t>
      </w:r>
      <w:bookmarkEnd w:id="1"/>
    </w:p>
    <w:p w14:paraId="65B81F03" w14:textId="6C86E522" w:rsidR="001659F2" w:rsidRDefault="001659F2" w:rsidP="001659F2">
      <w:bookmarkStart w:id="2" w:name="_Toc242573361"/>
      <w:r>
        <w:t xml:space="preserve">RAN2 is kindly asked to </w:t>
      </w:r>
      <w:r w:rsidR="00910638">
        <w:t xml:space="preserve">discuss </w:t>
      </w:r>
      <w:r w:rsidR="00CE79CD">
        <w:rPr>
          <w:lang w:eastAsia="zh-CN"/>
        </w:rPr>
        <w:t>UE preferred cDRX configuration</w:t>
      </w:r>
      <w:r>
        <w:t xml:space="preserve">: </w:t>
      </w:r>
    </w:p>
    <w:p w14:paraId="5D88EFDA" w14:textId="7B9DD11C" w:rsidR="00CE79CD" w:rsidRDefault="00CE79CD" w:rsidP="00CE79CD">
      <w:pPr>
        <w:rPr>
          <w:lang w:val="en-GB" w:eastAsia="zh-CN"/>
        </w:rPr>
      </w:pPr>
      <w:r w:rsidRPr="00CA6241">
        <w:rPr>
          <w:b/>
          <w:lang w:val="en-GB" w:eastAsia="zh-CN"/>
        </w:rPr>
        <w:t>Proposal</w:t>
      </w:r>
      <w:r>
        <w:rPr>
          <w:b/>
          <w:lang w:val="en-GB" w:eastAsia="zh-CN"/>
        </w:rPr>
        <w:t xml:space="preserve"> 1</w:t>
      </w:r>
      <w:r>
        <w:rPr>
          <w:lang w:val="en-GB" w:eastAsia="zh-CN"/>
        </w:rPr>
        <w:t xml:space="preserve">: UE does not indicate a preferred DRX </w:t>
      </w:r>
      <w:r w:rsidR="00C35817">
        <w:rPr>
          <w:lang w:val="en-GB" w:eastAsia="zh-CN"/>
        </w:rPr>
        <w:t>O</w:t>
      </w:r>
      <w:r>
        <w:rPr>
          <w:lang w:val="en-GB" w:eastAsia="zh-CN"/>
        </w:rPr>
        <w:t xml:space="preserve">ffset or DRX </w:t>
      </w:r>
      <w:r w:rsidR="00C35817">
        <w:rPr>
          <w:lang w:val="en-GB" w:eastAsia="zh-CN"/>
        </w:rPr>
        <w:t>OnD</w:t>
      </w:r>
      <w:r>
        <w:rPr>
          <w:lang w:val="en-GB" w:eastAsia="zh-CN"/>
        </w:rPr>
        <w:t xml:space="preserve">uration. </w:t>
      </w:r>
    </w:p>
    <w:p w14:paraId="543501C3" w14:textId="6ADC58C6" w:rsidR="00CE79CD" w:rsidRDefault="00CE79CD" w:rsidP="00CE79CD">
      <w:pPr>
        <w:rPr>
          <w:lang w:eastAsia="zh-CN"/>
        </w:rPr>
      </w:pPr>
      <w:r w:rsidRPr="0096305D">
        <w:rPr>
          <w:b/>
          <w:lang w:eastAsia="zh-CN"/>
        </w:rPr>
        <w:t xml:space="preserve">Proposal </w:t>
      </w:r>
      <w:r>
        <w:rPr>
          <w:b/>
          <w:lang w:eastAsia="zh-CN"/>
        </w:rPr>
        <w:t>2</w:t>
      </w:r>
      <w:r>
        <w:rPr>
          <w:lang w:eastAsia="zh-CN"/>
        </w:rPr>
        <w:t xml:space="preserve">: RAN2 to discuss the supported use cases for UE preferred cDRX configuration. </w:t>
      </w:r>
    </w:p>
    <w:p w14:paraId="2D8F7981" w14:textId="213C97CD" w:rsidR="00CE79CD" w:rsidRDefault="00CE79CD" w:rsidP="00CE79CD">
      <w:pPr>
        <w:rPr>
          <w:lang w:val="en-GB"/>
        </w:rPr>
      </w:pPr>
      <w:r>
        <w:rPr>
          <w:b/>
          <w:lang w:val="en-GB"/>
        </w:rPr>
        <w:t xml:space="preserve">Proposal 3: </w:t>
      </w:r>
      <w:r w:rsidRPr="00C64FCC">
        <w:rPr>
          <w:lang w:val="en-GB"/>
        </w:rPr>
        <w:t>The</w:t>
      </w:r>
      <w:r>
        <w:rPr>
          <w:lang w:val="en-GB"/>
        </w:rPr>
        <w:t xml:space="preserve"> UE shall set the preferred cDRX configuration based on the expected traffic pattern and/or service type.</w:t>
      </w:r>
    </w:p>
    <w:p w14:paraId="70BF0739" w14:textId="77777777" w:rsidR="00CE79CD" w:rsidRDefault="00CE79CD" w:rsidP="00CE79CD">
      <w:pPr>
        <w:rPr>
          <w:lang w:val="en-GB"/>
        </w:rPr>
      </w:pPr>
      <w:r>
        <w:rPr>
          <w:b/>
          <w:lang w:val="en-GB"/>
        </w:rPr>
        <w:t xml:space="preserve">Proposal 4: </w:t>
      </w:r>
      <w:r w:rsidRPr="00C64FCC">
        <w:rPr>
          <w:lang w:val="en-GB"/>
        </w:rPr>
        <w:t>The</w:t>
      </w:r>
      <w:r>
        <w:rPr>
          <w:lang w:val="en-GB"/>
        </w:rPr>
        <w:t xml:space="preserve"> NW maintains the negotiated QoS irrespective of the UE preferred cDRX configuration.</w:t>
      </w:r>
    </w:p>
    <w:p w14:paraId="2211BEBB" w14:textId="77777777" w:rsidR="00CE79CD" w:rsidRDefault="00CE79CD" w:rsidP="00CE79CD">
      <w:pPr>
        <w:rPr>
          <w:lang w:val="en-GB"/>
        </w:rPr>
      </w:pPr>
      <w:r>
        <w:rPr>
          <w:b/>
          <w:lang w:val="en-GB"/>
        </w:rPr>
        <w:t xml:space="preserve">Proposal 5: </w:t>
      </w:r>
      <w:r w:rsidRPr="00C64FCC">
        <w:rPr>
          <w:lang w:val="en-GB"/>
        </w:rPr>
        <w:t xml:space="preserve">The </w:t>
      </w:r>
      <w:r>
        <w:rPr>
          <w:lang w:val="en-GB"/>
        </w:rPr>
        <w:t xml:space="preserve">preferred cDRX configuration parameter has the same value range as the </w:t>
      </w:r>
      <w:bookmarkStart w:id="3" w:name="_GoBack"/>
      <w:r>
        <w:rPr>
          <w:lang w:val="en-GB"/>
        </w:rPr>
        <w:t xml:space="preserve">corresponding cDRX configuration </w:t>
      </w:r>
      <w:bookmarkEnd w:id="3"/>
      <w:r>
        <w:rPr>
          <w:lang w:val="en-GB"/>
        </w:rPr>
        <w:t>parameter.</w:t>
      </w:r>
    </w:p>
    <w:p w14:paraId="5A15FD36" w14:textId="77777777" w:rsidR="009D725A" w:rsidRDefault="009D725A" w:rsidP="009D725A">
      <w:pPr>
        <w:pStyle w:val="Heading1"/>
        <w:rPr>
          <w:noProof/>
        </w:rPr>
      </w:pPr>
      <w:r>
        <w:rPr>
          <w:noProof/>
        </w:rPr>
        <w:t>References</w:t>
      </w:r>
      <w:bookmarkEnd w:id="2"/>
    </w:p>
    <w:p w14:paraId="519511D7" w14:textId="77777777" w:rsidR="00E56E45" w:rsidRDefault="00751D34" w:rsidP="00EC735F">
      <w:pPr>
        <w:numPr>
          <w:ilvl w:val="0"/>
          <w:numId w:val="2"/>
        </w:numPr>
        <w:overflowPunct w:val="0"/>
        <w:autoSpaceDE w:val="0"/>
        <w:autoSpaceDN w:val="0"/>
        <w:adjustRightInd w:val="0"/>
        <w:spacing w:before="60" w:after="60"/>
        <w:textAlignment w:val="baseline"/>
        <w:rPr>
          <w:rFonts w:cs="Arial"/>
          <w:sz w:val="16"/>
          <w:szCs w:val="16"/>
          <w:lang w:val="de-DE"/>
        </w:rPr>
      </w:pPr>
      <w:hyperlink r:id="rId7" w:history="1">
        <w:r w:rsidR="00E56E45">
          <w:rPr>
            <w:rStyle w:val="Hyperlink"/>
            <w:sz w:val="16"/>
            <w:szCs w:val="16"/>
            <w:lang w:val="de-DE"/>
          </w:rPr>
          <w:t>RP-191607</w:t>
        </w:r>
      </w:hyperlink>
      <w:r w:rsidR="00E56E45">
        <w:rPr>
          <w:rFonts w:cs="Arial"/>
          <w:sz w:val="16"/>
          <w:szCs w:val="16"/>
          <w:lang w:val="de-DE"/>
        </w:rPr>
        <w:t xml:space="preserve">, </w:t>
      </w:r>
      <w:r w:rsidR="00E56E45">
        <w:rPr>
          <w:rFonts w:cs="Arial"/>
          <w:i/>
          <w:sz w:val="16"/>
          <w:szCs w:val="16"/>
          <w:lang w:val="de-DE"/>
        </w:rPr>
        <w:t>Revised WID: UE Power Saving in NR</w:t>
      </w:r>
      <w:r w:rsidR="00E56E45">
        <w:rPr>
          <w:rFonts w:cs="Arial"/>
          <w:sz w:val="16"/>
          <w:szCs w:val="16"/>
          <w:lang w:val="de-DE"/>
        </w:rPr>
        <w:t>, Revised WID, CATT, RAN#84</w:t>
      </w:r>
    </w:p>
    <w:p w14:paraId="5EDA350D" w14:textId="572FE36F" w:rsidR="00E56E45" w:rsidRDefault="00751D34" w:rsidP="00EC735F">
      <w:pPr>
        <w:numPr>
          <w:ilvl w:val="0"/>
          <w:numId w:val="2"/>
        </w:numPr>
        <w:overflowPunct w:val="0"/>
        <w:autoSpaceDE w:val="0"/>
        <w:autoSpaceDN w:val="0"/>
        <w:adjustRightInd w:val="0"/>
        <w:spacing w:before="60" w:after="60"/>
        <w:textAlignment w:val="baseline"/>
        <w:rPr>
          <w:rFonts w:cs="Arial"/>
          <w:sz w:val="16"/>
          <w:szCs w:val="16"/>
          <w:lang w:val="de-DE"/>
        </w:rPr>
      </w:pPr>
      <w:hyperlink r:id="rId8" w:history="1">
        <w:r w:rsidR="00E56E45">
          <w:rPr>
            <w:rStyle w:val="Hyperlink"/>
            <w:sz w:val="16"/>
            <w:szCs w:val="16"/>
            <w:lang w:val="de-DE"/>
          </w:rPr>
          <w:t>RP-192225</w:t>
        </w:r>
      </w:hyperlink>
      <w:r w:rsidR="00E56E45">
        <w:rPr>
          <w:rFonts w:cs="Arial"/>
          <w:sz w:val="16"/>
          <w:szCs w:val="16"/>
          <w:lang w:val="de-DE"/>
        </w:rPr>
        <w:t xml:space="preserve">, </w:t>
      </w:r>
      <w:r w:rsidR="00E56E45">
        <w:rPr>
          <w:rFonts w:cs="Arial"/>
          <w:i/>
          <w:sz w:val="16"/>
          <w:szCs w:val="16"/>
          <w:lang w:val="de-DE"/>
        </w:rPr>
        <w:t>Status Report for WI: UE Power Saving in NR</w:t>
      </w:r>
      <w:r w:rsidR="00E56E45">
        <w:rPr>
          <w:rFonts w:cs="Arial"/>
          <w:sz w:val="16"/>
          <w:szCs w:val="16"/>
          <w:lang w:val="de-DE"/>
        </w:rPr>
        <w:t>, CATT, RAN#85</w:t>
      </w:r>
    </w:p>
    <w:p w14:paraId="6334F542" w14:textId="586BB477" w:rsidR="000E5345" w:rsidRDefault="00751D34" w:rsidP="00EC735F">
      <w:pPr>
        <w:numPr>
          <w:ilvl w:val="0"/>
          <w:numId w:val="2"/>
        </w:numPr>
        <w:overflowPunct w:val="0"/>
        <w:autoSpaceDE w:val="0"/>
        <w:autoSpaceDN w:val="0"/>
        <w:adjustRightInd w:val="0"/>
        <w:spacing w:before="60" w:after="60"/>
        <w:textAlignment w:val="baseline"/>
        <w:rPr>
          <w:rFonts w:cs="Arial"/>
          <w:sz w:val="16"/>
          <w:szCs w:val="16"/>
          <w:lang w:val="de-DE"/>
        </w:rPr>
      </w:pPr>
      <w:hyperlink r:id="rId9" w:history="1">
        <w:r w:rsidR="000E5345">
          <w:rPr>
            <w:rStyle w:val="Hyperlink"/>
            <w:rFonts w:cs="Arial"/>
            <w:sz w:val="16"/>
            <w:szCs w:val="16"/>
            <w:lang w:val="de-DE"/>
          </w:rPr>
          <w:t>R2-1909990</w:t>
        </w:r>
      </w:hyperlink>
      <w:r w:rsidR="000E5345" w:rsidRPr="000E5345">
        <w:rPr>
          <w:rFonts w:cs="Arial"/>
          <w:sz w:val="16"/>
          <w:szCs w:val="16"/>
          <w:lang w:val="de-DE"/>
        </w:rPr>
        <w:t xml:space="preserve">, </w:t>
      </w:r>
      <w:r w:rsidR="000E5345" w:rsidRPr="000E5345">
        <w:rPr>
          <w:rFonts w:cs="Arial"/>
          <w:i/>
          <w:sz w:val="16"/>
          <w:szCs w:val="16"/>
          <w:lang w:val="de-DE"/>
        </w:rPr>
        <w:t>UE Assistance Information for UE preferred cDRX configuration</w:t>
      </w:r>
      <w:r w:rsidR="000E5345" w:rsidRPr="000E5345">
        <w:rPr>
          <w:rFonts w:cs="Arial"/>
          <w:sz w:val="16"/>
          <w:szCs w:val="16"/>
          <w:lang w:val="de-DE"/>
        </w:rPr>
        <w:t>, Ericsson, DISC</w:t>
      </w:r>
      <w:r w:rsidR="000E5345">
        <w:rPr>
          <w:rFonts w:cs="Arial"/>
          <w:sz w:val="16"/>
          <w:szCs w:val="16"/>
          <w:lang w:val="de-DE"/>
        </w:rPr>
        <w:t>, RAN2#107bis</w:t>
      </w:r>
    </w:p>
    <w:p w14:paraId="51645BD9" w14:textId="77777777" w:rsidR="009F595C" w:rsidRPr="0043728D" w:rsidRDefault="009F595C" w:rsidP="009F595C">
      <w:pPr>
        <w:rPr>
          <w:lang w:val="en-GB"/>
        </w:rPr>
      </w:pPr>
    </w:p>
    <w:sectPr w:rsidR="009F595C" w:rsidRPr="0043728D"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B5C6D" w14:textId="77777777" w:rsidR="00751D34" w:rsidRDefault="00751D34">
      <w:r>
        <w:separator/>
      </w:r>
    </w:p>
  </w:endnote>
  <w:endnote w:type="continuationSeparator" w:id="0">
    <w:p w14:paraId="646F7218" w14:textId="77777777" w:rsidR="00751D34" w:rsidRDefault="0075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245BB0" w:rsidRDefault="00245BB0"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F821B" w14:textId="77777777" w:rsidR="00751D34" w:rsidRDefault="00751D34">
      <w:r>
        <w:separator/>
      </w:r>
    </w:p>
  </w:footnote>
  <w:footnote w:type="continuationSeparator" w:id="0">
    <w:p w14:paraId="7C9DBACF" w14:textId="77777777" w:rsidR="00751D34" w:rsidRDefault="00751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2B6F093C"/>
    <w:multiLevelType w:val="hybridMultilevel"/>
    <w:tmpl w:val="C74E7634"/>
    <w:lvl w:ilvl="0" w:tplc="3DE034F4">
      <w:start w:val="1"/>
      <w:numFmt w:val="bullet"/>
      <w:lvlText w:val="—"/>
      <w:lvlJc w:val="left"/>
      <w:pPr>
        <w:tabs>
          <w:tab w:val="num" w:pos="357"/>
        </w:tabs>
        <w:ind w:left="357" w:hanging="360"/>
      </w:pPr>
      <w:rPr>
        <w:rFonts w:ascii="Ericsson Hilda Light" w:hAnsi="Ericsson Hilda Light" w:hint="default"/>
      </w:rPr>
    </w:lvl>
    <w:lvl w:ilvl="1" w:tplc="D97ACD34">
      <w:start w:val="180"/>
      <w:numFmt w:val="bullet"/>
      <w:lvlText w:val="—"/>
      <w:lvlJc w:val="left"/>
      <w:pPr>
        <w:tabs>
          <w:tab w:val="num" w:pos="1077"/>
        </w:tabs>
        <w:ind w:left="1077" w:hanging="360"/>
      </w:pPr>
      <w:rPr>
        <w:rFonts w:ascii="Ericsson Hilda Light" w:hAnsi="Ericsson Hilda Light" w:hint="default"/>
      </w:rPr>
    </w:lvl>
    <w:lvl w:ilvl="2" w:tplc="EAB49BF6">
      <w:start w:val="1"/>
      <w:numFmt w:val="bullet"/>
      <w:lvlText w:val="—"/>
      <w:lvlJc w:val="left"/>
      <w:pPr>
        <w:tabs>
          <w:tab w:val="num" w:pos="1797"/>
        </w:tabs>
        <w:ind w:left="1797" w:hanging="360"/>
      </w:pPr>
      <w:rPr>
        <w:rFonts w:ascii="Ericsson Hilda Light" w:hAnsi="Ericsson Hilda Light" w:hint="default"/>
      </w:rPr>
    </w:lvl>
    <w:lvl w:ilvl="3" w:tplc="C4EAD412">
      <w:start w:val="1"/>
      <w:numFmt w:val="bullet"/>
      <w:lvlText w:val="—"/>
      <w:lvlJc w:val="left"/>
      <w:pPr>
        <w:tabs>
          <w:tab w:val="num" w:pos="2517"/>
        </w:tabs>
        <w:ind w:left="2517" w:hanging="360"/>
      </w:pPr>
      <w:rPr>
        <w:rFonts w:ascii="Ericsson Hilda Light" w:hAnsi="Ericsson Hilda Light" w:hint="default"/>
      </w:rPr>
    </w:lvl>
    <w:lvl w:ilvl="4" w:tplc="2D70744A">
      <w:start w:val="1"/>
      <w:numFmt w:val="bullet"/>
      <w:lvlText w:val="—"/>
      <w:lvlJc w:val="left"/>
      <w:pPr>
        <w:tabs>
          <w:tab w:val="num" w:pos="3237"/>
        </w:tabs>
        <w:ind w:left="3237" w:hanging="360"/>
      </w:pPr>
      <w:rPr>
        <w:rFonts w:ascii="Ericsson Hilda Light" w:hAnsi="Ericsson Hilda Light" w:hint="default"/>
      </w:rPr>
    </w:lvl>
    <w:lvl w:ilvl="5" w:tplc="AF9EF4EA">
      <w:start w:val="1"/>
      <w:numFmt w:val="bullet"/>
      <w:lvlText w:val="—"/>
      <w:lvlJc w:val="left"/>
      <w:pPr>
        <w:tabs>
          <w:tab w:val="num" w:pos="3957"/>
        </w:tabs>
        <w:ind w:left="3957" w:hanging="360"/>
      </w:pPr>
      <w:rPr>
        <w:rFonts w:ascii="Ericsson Hilda Light" w:hAnsi="Ericsson Hilda Light" w:hint="default"/>
      </w:rPr>
    </w:lvl>
    <w:lvl w:ilvl="6" w:tplc="5B785DDA">
      <w:start w:val="1"/>
      <w:numFmt w:val="bullet"/>
      <w:lvlText w:val="—"/>
      <w:lvlJc w:val="left"/>
      <w:pPr>
        <w:tabs>
          <w:tab w:val="num" w:pos="4677"/>
        </w:tabs>
        <w:ind w:left="4677" w:hanging="360"/>
      </w:pPr>
      <w:rPr>
        <w:rFonts w:ascii="Ericsson Hilda Light" w:hAnsi="Ericsson Hilda Light" w:hint="default"/>
      </w:rPr>
    </w:lvl>
    <w:lvl w:ilvl="7" w:tplc="CC3E1DDE">
      <w:start w:val="1"/>
      <w:numFmt w:val="bullet"/>
      <w:lvlText w:val="—"/>
      <w:lvlJc w:val="left"/>
      <w:pPr>
        <w:tabs>
          <w:tab w:val="num" w:pos="5397"/>
        </w:tabs>
        <w:ind w:left="5397" w:hanging="360"/>
      </w:pPr>
      <w:rPr>
        <w:rFonts w:ascii="Ericsson Hilda Light" w:hAnsi="Ericsson Hilda Light" w:hint="default"/>
      </w:rPr>
    </w:lvl>
    <w:lvl w:ilvl="8" w:tplc="0DCA4764">
      <w:start w:val="1"/>
      <w:numFmt w:val="bullet"/>
      <w:lvlText w:val="—"/>
      <w:lvlJc w:val="left"/>
      <w:pPr>
        <w:tabs>
          <w:tab w:val="num" w:pos="6117"/>
        </w:tabs>
        <w:ind w:left="6117" w:hanging="360"/>
      </w:pPr>
      <w:rPr>
        <w:rFonts w:ascii="Ericsson Hilda Light" w:hAnsi="Ericsson Hilda Light"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79B1661"/>
    <w:multiLevelType w:val="hybridMultilevel"/>
    <w:tmpl w:val="DF9C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BE6727"/>
    <w:multiLevelType w:val="hybridMultilevel"/>
    <w:tmpl w:val="340E54A2"/>
    <w:lvl w:ilvl="0" w:tplc="6278001C">
      <w:start w:val="1"/>
      <w:numFmt w:val="bullet"/>
      <w:lvlText w:val="–"/>
      <w:lvlJc w:val="left"/>
      <w:pPr>
        <w:tabs>
          <w:tab w:val="num" w:pos="360"/>
        </w:tabs>
        <w:ind w:left="360" w:hanging="360"/>
      </w:pPr>
      <w:rPr>
        <w:rFonts w:ascii="Ericsson Capital TT" w:hAnsi="Ericsson Capital TT" w:hint="default"/>
      </w:rPr>
    </w:lvl>
    <w:lvl w:ilvl="1" w:tplc="89A88110">
      <w:start w:val="1"/>
      <w:numFmt w:val="bullet"/>
      <w:lvlText w:val="–"/>
      <w:lvlJc w:val="left"/>
      <w:pPr>
        <w:tabs>
          <w:tab w:val="num" w:pos="1080"/>
        </w:tabs>
        <w:ind w:left="1080" w:hanging="360"/>
      </w:pPr>
      <w:rPr>
        <w:rFonts w:ascii="Ericsson Capital TT" w:hAnsi="Ericsson Capital TT" w:hint="default"/>
      </w:rPr>
    </w:lvl>
    <w:lvl w:ilvl="2" w:tplc="CA2CA98E">
      <w:start w:val="270"/>
      <w:numFmt w:val="bullet"/>
      <w:lvlText w:val="›"/>
      <w:lvlJc w:val="left"/>
      <w:pPr>
        <w:tabs>
          <w:tab w:val="num" w:pos="1800"/>
        </w:tabs>
        <w:ind w:left="1800" w:hanging="360"/>
      </w:pPr>
      <w:rPr>
        <w:rFonts w:ascii="Ericsson Capital TT" w:hAnsi="Ericsson Capital TT" w:hint="default"/>
      </w:rPr>
    </w:lvl>
    <w:lvl w:ilvl="3" w:tplc="503C9A12">
      <w:start w:val="1"/>
      <w:numFmt w:val="bullet"/>
      <w:lvlText w:val="–"/>
      <w:lvlJc w:val="left"/>
      <w:pPr>
        <w:tabs>
          <w:tab w:val="num" w:pos="2520"/>
        </w:tabs>
        <w:ind w:left="2520" w:hanging="360"/>
      </w:pPr>
      <w:rPr>
        <w:rFonts w:ascii="Ericsson Capital TT" w:hAnsi="Ericsson Capital TT" w:hint="default"/>
      </w:rPr>
    </w:lvl>
    <w:lvl w:ilvl="4" w:tplc="32541638">
      <w:start w:val="1"/>
      <w:numFmt w:val="bullet"/>
      <w:lvlText w:val="–"/>
      <w:lvlJc w:val="left"/>
      <w:pPr>
        <w:tabs>
          <w:tab w:val="num" w:pos="3240"/>
        </w:tabs>
        <w:ind w:left="3240" w:hanging="360"/>
      </w:pPr>
      <w:rPr>
        <w:rFonts w:ascii="Ericsson Capital TT" w:hAnsi="Ericsson Capital TT" w:hint="default"/>
      </w:rPr>
    </w:lvl>
    <w:lvl w:ilvl="5" w:tplc="BB624216">
      <w:start w:val="1"/>
      <w:numFmt w:val="bullet"/>
      <w:lvlText w:val="–"/>
      <w:lvlJc w:val="left"/>
      <w:pPr>
        <w:tabs>
          <w:tab w:val="num" w:pos="3960"/>
        </w:tabs>
        <w:ind w:left="3960" w:hanging="360"/>
      </w:pPr>
      <w:rPr>
        <w:rFonts w:ascii="Ericsson Capital TT" w:hAnsi="Ericsson Capital TT" w:hint="default"/>
      </w:rPr>
    </w:lvl>
    <w:lvl w:ilvl="6" w:tplc="98F21600">
      <w:start w:val="1"/>
      <w:numFmt w:val="bullet"/>
      <w:lvlText w:val="–"/>
      <w:lvlJc w:val="left"/>
      <w:pPr>
        <w:tabs>
          <w:tab w:val="num" w:pos="4680"/>
        </w:tabs>
        <w:ind w:left="4680" w:hanging="360"/>
      </w:pPr>
      <w:rPr>
        <w:rFonts w:ascii="Ericsson Capital TT" w:hAnsi="Ericsson Capital TT" w:hint="default"/>
      </w:rPr>
    </w:lvl>
    <w:lvl w:ilvl="7" w:tplc="78385C0E">
      <w:start w:val="1"/>
      <w:numFmt w:val="bullet"/>
      <w:lvlText w:val="–"/>
      <w:lvlJc w:val="left"/>
      <w:pPr>
        <w:tabs>
          <w:tab w:val="num" w:pos="5400"/>
        </w:tabs>
        <w:ind w:left="5400" w:hanging="360"/>
      </w:pPr>
      <w:rPr>
        <w:rFonts w:ascii="Ericsson Capital TT" w:hAnsi="Ericsson Capital TT" w:hint="default"/>
      </w:rPr>
    </w:lvl>
    <w:lvl w:ilvl="8" w:tplc="0F78D018">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6DF80290"/>
    <w:multiLevelType w:val="hybridMultilevel"/>
    <w:tmpl w:val="0B5AC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5345"/>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6329"/>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45BB0"/>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0CD5"/>
    <w:rsid w:val="0034374B"/>
    <w:rsid w:val="00352BFE"/>
    <w:rsid w:val="0035547C"/>
    <w:rsid w:val="00361092"/>
    <w:rsid w:val="003730EF"/>
    <w:rsid w:val="0037552C"/>
    <w:rsid w:val="0037629E"/>
    <w:rsid w:val="0037719E"/>
    <w:rsid w:val="00383177"/>
    <w:rsid w:val="00387975"/>
    <w:rsid w:val="00393247"/>
    <w:rsid w:val="00395015"/>
    <w:rsid w:val="003A29E8"/>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28D"/>
    <w:rsid w:val="0043788C"/>
    <w:rsid w:val="00445733"/>
    <w:rsid w:val="00445F25"/>
    <w:rsid w:val="00445FD8"/>
    <w:rsid w:val="00446BDF"/>
    <w:rsid w:val="00447C05"/>
    <w:rsid w:val="00451134"/>
    <w:rsid w:val="00451A3A"/>
    <w:rsid w:val="00455C91"/>
    <w:rsid w:val="00461A62"/>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1D34"/>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9D1"/>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595C"/>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60D0"/>
    <w:rsid w:val="00A67B53"/>
    <w:rsid w:val="00A70266"/>
    <w:rsid w:val="00A7695D"/>
    <w:rsid w:val="00A769F6"/>
    <w:rsid w:val="00A8241D"/>
    <w:rsid w:val="00A8485B"/>
    <w:rsid w:val="00A87D00"/>
    <w:rsid w:val="00A91674"/>
    <w:rsid w:val="00A92227"/>
    <w:rsid w:val="00AA36EE"/>
    <w:rsid w:val="00AA60EA"/>
    <w:rsid w:val="00AA61B3"/>
    <w:rsid w:val="00AA7495"/>
    <w:rsid w:val="00AB3D9D"/>
    <w:rsid w:val="00AB5F1A"/>
    <w:rsid w:val="00AB6F51"/>
    <w:rsid w:val="00AB701F"/>
    <w:rsid w:val="00AC0E27"/>
    <w:rsid w:val="00AC5C01"/>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574"/>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5817"/>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6241"/>
    <w:rsid w:val="00CB1753"/>
    <w:rsid w:val="00CC00D8"/>
    <w:rsid w:val="00CC1F1A"/>
    <w:rsid w:val="00CC2C63"/>
    <w:rsid w:val="00CC308A"/>
    <w:rsid w:val="00CC5C27"/>
    <w:rsid w:val="00CC6376"/>
    <w:rsid w:val="00CD51AF"/>
    <w:rsid w:val="00CD566B"/>
    <w:rsid w:val="00CD67B3"/>
    <w:rsid w:val="00CE3462"/>
    <w:rsid w:val="00CE373D"/>
    <w:rsid w:val="00CE79CD"/>
    <w:rsid w:val="00CF0562"/>
    <w:rsid w:val="00CF1B9A"/>
    <w:rsid w:val="00CF2221"/>
    <w:rsid w:val="00D043A7"/>
    <w:rsid w:val="00D11924"/>
    <w:rsid w:val="00D121A1"/>
    <w:rsid w:val="00D15489"/>
    <w:rsid w:val="00D15C2B"/>
    <w:rsid w:val="00D17AE2"/>
    <w:rsid w:val="00D205FF"/>
    <w:rsid w:val="00D21B1B"/>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1555"/>
    <w:rsid w:val="00DE27BC"/>
    <w:rsid w:val="00DE5650"/>
    <w:rsid w:val="00DE6127"/>
    <w:rsid w:val="00DF0630"/>
    <w:rsid w:val="00DF2ACA"/>
    <w:rsid w:val="00E005F2"/>
    <w:rsid w:val="00E0108F"/>
    <w:rsid w:val="00E0381C"/>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6E45"/>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35F"/>
    <w:rsid w:val="00EC76DA"/>
    <w:rsid w:val="00ED4090"/>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6A8D"/>
    <w:rsid w:val="00FD1C75"/>
    <w:rsid w:val="00FD21BC"/>
    <w:rsid w:val="00FD304B"/>
    <w:rsid w:val="00FD4EAB"/>
    <w:rsid w:val="00FE4A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odyTextChar">
    <w:name w:val="Body Text Char"/>
    <w:aliases w:val="bt Char"/>
    <w:basedOn w:val="DefaultParagraphFont"/>
    <w:link w:val="BodyText"/>
    <w:locked/>
    <w:rsid w:val="00AC5C01"/>
    <w:rPr>
      <w:rFonts w:ascii="Times New Roman" w:eastAsia="MS Gothic" w:hAnsi="Times New Roman"/>
      <w:sz w:val="24"/>
      <w:lang w:eastAsia="ja-JP"/>
    </w:rPr>
  </w:style>
  <w:style w:type="paragraph" w:styleId="BodyText">
    <w:name w:val="Body Text"/>
    <w:aliases w:val="bt"/>
    <w:basedOn w:val="Normal"/>
    <w:link w:val="BodyTextChar"/>
    <w:unhideWhenUsed/>
    <w:rsid w:val="00AC5C01"/>
    <w:pPr>
      <w:spacing w:after="120"/>
    </w:pPr>
    <w:rPr>
      <w:rFonts w:ascii="Times New Roman" w:eastAsia="MS Gothic" w:hAnsi="Times New Roman"/>
      <w:sz w:val="24"/>
      <w:szCs w:val="20"/>
      <w:lang w:val="en-GB" w:eastAsia="ja-JP"/>
    </w:rPr>
  </w:style>
  <w:style w:type="character" w:customStyle="1" w:styleId="BodyTextChar1">
    <w:name w:val="Body Text Char1"/>
    <w:basedOn w:val="DefaultParagraphFont"/>
    <w:uiPriority w:val="99"/>
    <w:semiHidden/>
    <w:rsid w:val="00AC5C01"/>
    <w:rPr>
      <w:rFonts w:ascii="Arial" w:hAnsi="Arial"/>
      <w:szCs w:val="22"/>
      <w:lang w:val="en-US"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59D1"/>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3283">
      <w:bodyDiv w:val="1"/>
      <w:marLeft w:val="0"/>
      <w:marRight w:val="0"/>
      <w:marTop w:val="0"/>
      <w:marBottom w:val="0"/>
      <w:divBdr>
        <w:top w:val="none" w:sz="0" w:space="0" w:color="auto"/>
        <w:left w:val="none" w:sz="0" w:space="0" w:color="auto"/>
        <w:bottom w:val="none" w:sz="0" w:space="0" w:color="auto"/>
        <w:right w:val="none" w:sz="0" w:space="0" w:color="auto"/>
      </w:divBdr>
      <w:divsChild>
        <w:div w:id="903610748">
          <w:marLeft w:val="547"/>
          <w:marRight w:val="0"/>
          <w:marTop w:val="60"/>
          <w:marBottom w:val="0"/>
          <w:divBdr>
            <w:top w:val="none" w:sz="0" w:space="0" w:color="auto"/>
            <w:left w:val="none" w:sz="0" w:space="0" w:color="auto"/>
            <w:bottom w:val="none" w:sz="0" w:space="0" w:color="auto"/>
            <w:right w:val="none" w:sz="0" w:space="0" w:color="auto"/>
          </w:divBdr>
        </w:div>
        <w:div w:id="646277871">
          <w:marLeft w:val="1123"/>
          <w:marRight w:val="0"/>
          <w:marTop w:val="60"/>
          <w:marBottom w:val="0"/>
          <w:divBdr>
            <w:top w:val="none" w:sz="0" w:space="0" w:color="auto"/>
            <w:left w:val="none" w:sz="0" w:space="0" w:color="auto"/>
            <w:bottom w:val="none" w:sz="0" w:space="0" w:color="auto"/>
            <w:right w:val="none" w:sz="0" w:space="0" w:color="auto"/>
          </w:divBdr>
        </w:div>
        <w:div w:id="444277823">
          <w:marLeft w:val="1123"/>
          <w:marRight w:val="0"/>
          <w:marTop w:val="60"/>
          <w:marBottom w:val="0"/>
          <w:divBdr>
            <w:top w:val="none" w:sz="0" w:space="0" w:color="auto"/>
            <w:left w:val="none" w:sz="0" w:space="0" w:color="auto"/>
            <w:bottom w:val="none" w:sz="0" w:space="0" w:color="auto"/>
            <w:right w:val="none" w:sz="0" w:space="0" w:color="auto"/>
          </w:divBdr>
        </w:div>
        <w:div w:id="1054937575">
          <w:marLeft w:val="1123"/>
          <w:marRight w:val="0"/>
          <w:marTop w:val="60"/>
          <w:marBottom w:val="0"/>
          <w:divBdr>
            <w:top w:val="none" w:sz="0" w:space="0" w:color="auto"/>
            <w:left w:val="none" w:sz="0" w:space="0" w:color="auto"/>
            <w:bottom w:val="none" w:sz="0" w:space="0" w:color="auto"/>
            <w:right w:val="none" w:sz="0" w:space="0" w:color="auto"/>
          </w:divBdr>
        </w:div>
        <w:div w:id="162398436">
          <w:marLeft w:val="1123"/>
          <w:marRight w:val="0"/>
          <w:marTop w:val="60"/>
          <w:marBottom w:val="0"/>
          <w:divBdr>
            <w:top w:val="none" w:sz="0" w:space="0" w:color="auto"/>
            <w:left w:val="none" w:sz="0" w:space="0" w:color="auto"/>
            <w:bottom w:val="none" w:sz="0" w:space="0" w:color="auto"/>
            <w:right w:val="none" w:sz="0" w:space="0" w:color="auto"/>
          </w:divBdr>
        </w:div>
        <w:div w:id="60181355">
          <w:marLeft w:val="547"/>
          <w:marRight w:val="0"/>
          <w:marTop w:val="60"/>
          <w:marBottom w:val="0"/>
          <w:divBdr>
            <w:top w:val="none" w:sz="0" w:space="0" w:color="auto"/>
            <w:left w:val="none" w:sz="0" w:space="0" w:color="auto"/>
            <w:bottom w:val="none" w:sz="0" w:space="0" w:color="auto"/>
            <w:right w:val="none" w:sz="0" w:space="0" w:color="auto"/>
          </w:divBdr>
        </w:div>
        <w:div w:id="757823502">
          <w:marLeft w:val="1296"/>
          <w:marRight w:val="0"/>
          <w:marTop w:val="60"/>
          <w:marBottom w:val="0"/>
          <w:divBdr>
            <w:top w:val="none" w:sz="0" w:space="0" w:color="auto"/>
            <w:left w:val="none" w:sz="0" w:space="0" w:color="auto"/>
            <w:bottom w:val="none" w:sz="0" w:space="0" w:color="auto"/>
            <w:right w:val="none" w:sz="0" w:space="0" w:color="auto"/>
          </w:divBdr>
        </w:div>
        <w:div w:id="764155840">
          <w:marLeft w:val="1296"/>
          <w:marRight w:val="0"/>
          <w:marTop w:val="60"/>
          <w:marBottom w:val="0"/>
          <w:divBdr>
            <w:top w:val="none" w:sz="0" w:space="0" w:color="auto"/>
            <w:left w:val="none" w:sz="0" w:space="0" w:color="auto"/>
            <w:bottom w:val="none" w:sz="0" w:space="0" w:color="auto"/>
            <w:right w:val="none" w:sz="0" w:space="0" w:color="auto"/>
          </w:divBdr>
        </w:div>
        <w:div w:id="1247108300">
          <w:marLeft w:val="1296"/>
          <w:marRight w:val="0"/>
          <w:marTop w:val="60"/>
          <w:marBottom w:val="0"/>
          <w:divBdr>
            <w:top w:val="none" w:sz="0" w:space="0" w:color="auto"/>
            <w:left w:val="none" w:sz="0" w:space="0" w:color="auto"/>
            <w:bottom w:val="none" w:sz="0" w:space="0" w:color="auto"/>
            <w:right w:val="none" w:sz="0" w:space="0" w:color="auto"/>
          </w:divBdr>
        </w:div>
        <w:div w:id="1109008451">
          <w:marLeft w:val="1296"/>
          <w:marRight w:val="0"/>
          <w:marTop w:val="60"/>
          <w:marBottom w:val="0"/>
          <w:divBdr>
            <w:top w:val="none" w:sz="0" w:space="0" w:color="auto"/>
            <w:left w:val="none" w:sz="0" w:space="0" w:color="auto"/>
            <w:bottom w:val="none" w:sz="0" w:space="0" w:color="auto"/>
            <w:right w:val="none" w:sz="0" w:space="0" w:color="auto"/>
          </w:divBdr>
        </w:div>
        <w:div w:id="1334261121">
          <w:marLeft w:val="547"/>
          <w:marRight w:val="0"/>
          <w:marTop w:val="60"/>
          <w:marBottom w:val="0"/>
          <w:divBdr>
            <w:top w:val="none" w:sz="0" w:space="0" w:color="auto"/>
            <w:left w:val="none" w:sz="0" w:space="0" w:color="auto"/>
            <w:bottom w:val="none" w:sz="0" w:space="0" w:color="auto"/>
            <w:right w:val="none" w:sz="0" w:space="0" w:color="auto"/>
          </w:divBdr>
        </w:div>
        <w:div w:id="1487820893">
          <w:marLeft w:val="1123"/>
          <w:marRight w:val="0"/>
          <w:marTop w:val="60"/>
          <w:marBottom w:val="0"/>
          <w:divBdr>
            <w:top w:val="none" w:sz="0" w:space="0" w:color="auto"/>
            <w:left w:val="none" w:sz="0" w:space="0" w:color="auto"/>
            <w:bottom w:val="none" w:sz="0" w:space="0" w:color="auto"/>
            <w:right w:val="none" w:sz="0" w:space="0" w:color="auto"/>
          </w:divBdr>
        </w:div>
      </w:divsChild>
    </w:div>
    <w:div w:id="87238437">
      <w:bodyDiv w:val="1"/>
      <w:marLeft w:val="0"/>
      <w:marRight w:val="0"/>
      <w:marTop w:val="0"/>
      <w:marBottom w:val="0"/>
      <w:divBdr>
        <w:top w:val="none" w:sz="0" w:space="0" w:color="auto"/>
        <w:left w:val="none" w:sz="0" w:space="0" w:color="auto"/>
        <w:bottom w:val="none" w:sz="0" w:space="0" w:color="auto"/>
        <w:right w:val="none" w:sz="0" w:space="0" w:color="auto"/>
      </w:divBdr>
    </w:div>
    <w:div w:id="177543212">
      <w:bodyDiv w:val="1"/>
      <w:marLeft w:val="0"/>
      <w:marRight w:val="0"/>
      <w:marTop w:val="0"/>
      <w:marBottom w:val="0"/>
      <w:divBdr>
        <w:top w:val="none" w:sz="0" w:space="0" w:color="auto"/>
        <w:left w:val="none" w:sz="0" w:space="0" w:color="auto"/>
        <w:bottom w:val="none" w:sz="0" w:space="0" w:color="auto"/>
        <w:right w:val="none" w:sz="0" w:space="0" w:color="auto"/>
      </w:divBdr>
    </w:div>
    <w:div w:id="17839622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25788139">
      <w:bodyDiv w:val="1"/>
      <w:marLeft w:val="0"/>
      <w:marRight w:val="0"/>
      <w:marTop w:val="0"/>
      <w:marBottom w:val="0"/>
      <w:divBdr>
        <w:top w:val="none" w:sz="0" w:space="0" w:color="auto"/>
        <w:left w:val="none" w:sz="0" w:space="0" w:color="auto"/>
        <w:bottom w:val="none" w:sz="0" w:space="0" w:color="auto"/>
        <w:right w:val="none" w:sz="0" w:space="0" w:color="auto"/>
      </w:divBdr>
    </w:div>
    <w:div w:id="60380752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8287558">
      <w:bodyDiv w:val="1"/>
      <w:marLeft w:val="0"/>
      <w:marRight w:val="0"/>
      <w:marTop w:val="0"/>
      <w:marBottom w:val="0"/>
      <w:divBdr>
        <w:top w:val="none" w:sz="0" w:space="0" w:color="auto"/>
        <w:left w:val="none" w:sz="0" w:space="0" w:color="auto"/>
        <w:bottom w:val="none" w:sz="0" w:space="0" w:color="auto"/>
        <w:right w:val="none" w:sz="0" w:space="0" w:color="auto"/>
      </w:divBdr>
    </w:div>
    <w:div w:id="88382827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8337721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2281115">
      <w:bodyDiv w:val="1"/>
      <w:marLeft w:val="0"/>
      <w:marRight w:val="0"/>
      <w:marTop w:val="0"/>
      <w:marBottom w:val="0"/>
      <w:divBdr>
        <w:top w:val="none" w:sz="0" w:space="0" w:color="auto"/>
        <w:left w:val="none" w:sz="0" w:space="0" w:color="auto"/>
        <w:bottom w:val="none" w:sz="0" w:space="0" w:color="auto"/>
        <w:right w:val="none" w:sz="0" w:space="0" w:color="auto"/>
      </w:divBdr>
    </w:div>
    <w:div w:id="1489514262">
      <w:bodyDiv w:val="1"/>
      <w:marLeft w:val="0"/>
      <w:marRight w:val="0"/>
      <w:marTop w:val="0"/>
      <w:marBottom w:val="0"/>
      <w:divBdr>
        <w:top w:val="none" w:sz="0" w:space="0" w:color="auto"/>
        <w:left w:val="none" w:sz="0" w:space="0" w:color="auto"/>
        <w:bottom w:val="none" w:sz="0" w:space="0" w:color="auto"/>
        <w:right w:val="none" w:sz="0" w:space="0" w:color="auto"/>
      </w:divBdr>
    </w:div>
    <w:div w:id="1533688339">
      <w:bodyDiv w:val="1"/>
      <w:marLeft w:val="0"/>
      <w:marRight w:val="0"/>
      <w:marTop w:val="0"/>
      <w:marBottom w:val="0"/>
      <w:divBdr>
        <w:top w:val="none" w:sz="0" w:space="0" w:color="auto"/>
        <w:left w:val="none" w:sz="0" w:space="0" w:color="auto"/>
        <w:bottom w:val="none" w:sz="0" w:space="0" w:color="auto"/>
        <w:right w:val="none" w:sz="0" w:space="0" w:color="auto"/>
      </w:divBdr>
    </w:div>
    <w:div w:id="1628703970">
      <w:bodyDiv w:val="1"/>
      <w:marLeft w:val="0"/>
      <w:marRight w:val="0"/>
      <w:marTop w:val="0"/>
      <w:marBottom w:val="0"/>
      <w:divBdr>
        <w:top w:val="none" w:sz="0" w:space="0" w:color="auto"/>
        <w:left w:val="none" w:sz="0" w:space="0" w:color="auto"/>
        <w:bottom w:val="none" w:sz="0" w:space="0" w:color="auto"/>
        <w:right w:val="none" w:sz="0" w:space="0" w:color="auto"/>
      </w:divBdr>
    </w:div>
    <w:div w:id="178109827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28293664">
      <w:bodyDiv w:val="1"/>
      <w:marLeft w:val="0"/>
      <w:marRight w:val="0"/>
      <w:marTop w:val="0"/>
      <w:marBottom w:val="0"/>
      <w:divBdr>
        <w:top w:val="none" w:sz="0" w:space="0" w:color="auto"/>
        <w:left w:val="none" w:sz="0" w:space="0" w:color="auto"/>
        <w:bottom w:val="none" w:sz="0" w:space="0" w:color="auto"/>
        <w:right w:val="none" w:sz="0" w:space="0" w:color="auto"/>
      </w:divBdr>
      <w:divsChild>
        <w:div w:id="1426531979">
          <w:marLeft w:val="547"/>
          <w:marRight w:val="0"/>
          <w:marTop w:val="60"/>
          <w:marBottom w:val="0"/>
          <w:divBdr>
            <w:top w:val="none" w:sz="0" w:space="0" w:color="auto"/>
            <w:left w:val="none" w:sz="0" w:space="0" w:color="auto"/>
            <w:bottom w:val="none" w:sz="0" w:space="0" w:color="auto"/>
            <w:right w:val="none" w:sz="0" w:space="0" w:color="auto"/>
          </w:divBdr>
        </w:div>
        <w:div w:id="485168176">
          <w:marLeft w:val="1123"/>
          <w:marRight w:val="0"/>
          <w:marTop w:val="60"/>
          <w:marBottom w:val="0"/>
          <w:divBdr>
            <w:top w:val="none" w:sz="0" w:space="0" w:color="auto"/>
            <w:left w:val="none" w:sz="0" w:space="0" w:color="auto"/>
            <w:bottom w:val="none" w:sz="0" w:space="0" w:color="auto"/>
            <w:right w:val="none" w:sz="0" w:space="0" w:color="auto"/>
          </w:divBdr>
        </w:div>
        <w:div w:id="567964400">
          <w:marLeft w:val="1123"/>
          <w:marRight w:val="0"/>
          <w:marTop w:val="60"/>
          <w:marBottom w:val="0"/>
          <w:divBdr>
            <w:top w:val="none" w:sz="0" w:space="0" w:color="auto"/>
            <w:left w:val="none" w:sz="0" w:space="0" w:color="auto"/>
            <w:bottom w:val="none" w:sz="0" w:space="0" w:color="auto"/>
            <w:right w:val="none" w:sz="0" w:space="0" w:color="auto"/>
          </w:divBdr>
        </w:div>
        <w:div w:id="346752528">
          <w:marLeft w:val="1123"/>
          <w:marRight w:val="0"/>
          <w:marTop w:val="60"/>
          <w:marBottom w:val="0"/>
          <w:divBdr>
            <w:top w:val="none" w:sz="0" w:space="0" w:color="auto"/>
            <w:left w:val="none" w:sz="0" w:space="0" w:color="auto"/>
            <w:bottom w:val="none" w:sz="0" w:space="0" w:color="auto"/>
            <w:right w:val="none" w:sz="0" w:space="0" w:color="auto"/>
          </w:divBdr>
        </w:div>
        <w:div w:id="1141577693">
          <w:marLeft w:val="1123"/>
          <w:marRight w:val="0"/>
          <w:marTop w:val="60"/>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5/Docs/RP-192225.zip" TargetMode="External"/><Relationship Id="rId3" Type="http://schemas.openxmlformats.org/officeDocument/2006/relationships/settings" Target="settings.xml"/><Relationship Id="rId7" Type="http://schemas.openxmlformats.org/officeDocument/2006/relationships/hyperlink" Target="http://www.3gpp.org/ftp/tsg_ran/TSG_RAN/TSGR_84/Docs/RP-19160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2_RL2//TSGR2_107/Docs/R2-19099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1</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25</cp:revision>
  <cp:lastPrinted>2009-10-21T14:47:00Z</cp:lastPrinted>
  <dcterms:created xsi:type="dcterms:W3CDTF">2019-01-22T06:45:00Z</dcterms:created>
  <dcterms:modified xsi:type="dcterms:W3CDTF">2019-10-04T06:44:00Z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